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0" w:rsidRDefault="00063A40" w:rsidP="00063A4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063A4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Le clonage</w:t>
      </w:r>
    </w:p>
    <w:p w:rsidR="00063A40" w:rsidRPr="00063A40" w:rsidRDefault="00063A40" w:rsidP="00063A4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063A40" w:rsidRP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>Le clonage est un processus naturel répété tous les jours dans la nature. La plupart des organismes font des copies exactes d'eux-mêmes par le biais de la reproduction asexuée.</w:t>
      </w: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Parfois, un parent se divise en deux, d'autres fois ils se reproduisent par bourgeonnement ou en faisant des </w:t>
      </w:r>
      <w:r w:rsidRPr="00063A40">
        <w:rPr>
          <w:rFonts w:ascii="Times New Roman" w:hAnsi="Times New Roman" w:cs="Times New Roman"/>
          <w:i/>
          <w:color w:val="000000"/>
          <w:sz w:val="24"/>
          <w:szCs w:val="24"/>
          <w:lang w:val="fr-CA"/>
        </w:rPr>
        <w:t>stolons.</w:t>
      </w:r>
    </w:p>
    <w:p w:rsidR="00063A40" w:rsidRP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Un </w:t>
      </w:r>
      <w:r w:rsidRPr="00063A40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clone</w:t>
      </w: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est défini comme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étant une </w:t>
      </w: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>cellule ou un organisme génétiquement identique.</w:t>
      </w:r>
      <w:r w:rsidRPr="00063A4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:rsid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063A40" w:rsidRPr="00063A40" w:rsidRDefault="00063A40" w:rsidP="00063A40">
      <w:pPr>
        <w:autoSpaceDE w:val="0"/>
        <w:autoSpaceDN w:val="0"/>
        <w:adjustRightInd w:val="0"/>
        <w:spacing w:after="3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</w:pPr>
      <w:r w:rsidRPr="00063A40">
        <w:rPr>
          <w:rFonts w:ascii="Arial" w:hAnsi="Arial" w:cs="Arial"/>
          <w:b/>
          <w:color w:val="000000"/>
          <w:sz w:val="24"/>
          <w:szCs w:val="24"/>
          <w:u w:val="single"/>
          <w:lang w:val="fr-CA"/>
        </w:rPr>
        <w:t>Clonage d’une plante à partir d’une seule cellule</w:t>
      </w:r>
    </w:p>
    <w:p w:rsidR="00063A40" w:rsidRDefault="00063A40" w:rsidP="00063A40">
      <w:pPr>
        <w:autoSpaceDE w:val="0"/>
        <w:autoSpaceDN w:val="0"/>
        <w:adjustRightInd w:val="0"/>
        <w:spacing w:after="30" w:line="240" w:lineRule="auto"/>
        <w:jc w:val="center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La première cellule végétale clonée est venue de la racine d'une carotte.  La cellule a été placé dans un milieu de culture avec des hormones de croissance pour favoriser la division cellulaire. 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368587B8" wp14:editId="3BB47BFE">
            <wp:extent cx="1002182" cy="1002182"/>
            <wp:effectExtent l="0" t="0" r="7620" b="7620"/>
            <wp:docPr id="1" name="Picture 1" descr="Carrots 101: Cooking and Benefits - Jessica Gavi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s 101: Cooking and Benefits - Jessica Gavi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75" cy="10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Ensuite, les cellules ont été tran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s</w:t>
      </w: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>féré dans un autre milieu de culture sans hormones de cro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issance.  Elles ont commencé à </w:t>
      </w:r>
      <w:r w:rsidRPr="00063A40">
        <w:rPr>
          <w:rFonts w:ascii="Times New Roman" w:hAnsi="Times New Roman" w:cs="Times New Roman"/>
          <w:color w:val="000000"/>
          <w:sz w:val="24"/>
          <w:szCs w:val="24"/>
          <w:lang w:val="fr-CA"/>
        </w:rPr>
        <w:t>se spécialiser en cellules formant la racine, la tige et les feuilles.  A ce point, la plante a été mise dans le sol.</w:t>
      </w:r>
    </w:p>
    <w:p w:rsidR="00063A40" w:rsidRPr="00063A40" w:rsidRDefault="00063A40" w:rsidP="00063A40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C44DA6" w:rsidRDefault="00063A40">
      <w:pPr>
        <w:rPr>
          <w:i/>
          <w:u w:val="single"/>
          <w:lang w:val="fr-CA"/>
        </w:rPr>
      </w:pPr>
      <w:proofErr w:type="gramStart"/>
      <w:r>
        <w:rPr>
          <w:i/>
          <w:u w:val="single"/>
          <w:lang w:val="fr-CA"/>
        </w:rPr>
        <w:t>Essayer!!</w:t>
      </w:r>
      <w:proofErr w:type="gramEnd"/>
    </w:p>
    <w:p w:rsidR="00063A40" w:rsidRDefault="00063A40">
      <w:pPr>
        <w:rPr>
          <w:lang w:val="fr-CA"/>
        </w:rPr>
      </w:pPr>
      <w:r>
        <w:rPr>
          <w:lang w:val="fr-CA"/>
        </w:rPr>
        <w:t xml:space="preserve">Couper un petit morceau d’une légume (pomme de terre, oignon vert,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 et mettre cette morceau dans un verre de sol. Donner un peu d’eau chaque jour, et beaucoup de lumière du soleil! Tu vas avoir des légumes frais à la maison!</w:t>
      </w:r>
    </w:p>
    <w:p w:rsidR="00063A40" w:rsidRPr="00063A40" w:rsidRDefault="00063A40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Clonage des animaux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 w:rsidRPr="00063A40">
        <w:rPr>
          <w:rFonts w:cstheme="minorHAnsi"/>
          <w:bCs/>
          <w:color w:val="000000"/>
          <w:lang w:val="fr-CA"/>
        </w:rPr>
        <w:t xml:space="preserve">Les scientifiques ont aussi cloné des animaux.  Par exemple, ils ont extrait un </w:t>
      </w:r>
      <w:proofErr w:type="spellStart"/>
      <w:r w:rsidRPr="00063A40">
        <w:rPr>
          <w:rFonts w:cstheme="minorHAnsi"/>
          <w:bCs/>
          <w:color w:val="000000"/>
          <w:lang w:val="fr-CA"/>
        </w:rPr>
        <w:t>oeuf</w:t>
      </w:r>
      <w:proofErr w:type="spellEnd"/>
      <w:r w:rsidRPr="00063A40">
        <w:rPr>
          <w:rFonts w:cstheme="minorHAnsi"/>
          <w:bCs/>
          <w:color w:val="000000"/>
          <w:lang w:val="fr-CA"/>
        </w:rPr>
        <w:t xml:space="preserve"> </w:t>
      </w:r>
      <w:r>
        <w:rPr>
          <w:rFonts w:cstheme="minorHAnsi"/>
          <w:bCs/>
          <w:color w:val="000000"/>
          <w:lang w:val="fr-CA"/>
        </w:rPr>
        <w:t xml:space="preserve">non fertilisé d'une grenouille. </w:t>
      </w:r>
      <w:r w:rsidRPr="00063A40">
        <w:rPr>
          <w:rFonts w:cstheme="minorHAnsi"/>
          <w:bCs/>
          <w:color w:val="000000"/>
          <w:lang w:val="fr-CA"/>
        </w:rPr>
        <w:t xml:space="preserve">Ils ont ensuite extrait le noyau de celle-ci (cellule </w:t>
      </w:r>
      <w:r w:rsidRPr="00063A40">
        <w:rPr>
          <w:rFonts w:cstheme="minorHAnsi"/>
          <w:bCs/>
          <w:i/>
          <w:iCs/>
          <w:color w:val="000000"/>
          <w:u w:val="single"/>
          <w:lang w:val="fr-CA"/>
        </w:rPr>
        <w:t>énuclée</w:t>
      </w:r>
      <w:r w:rsidRPr="00063A40">
        <w:rPr>
          <w:rFonts w:cstheme="minorHAnsi"/>
          <w:bCs/>
          <w:i/>
          <w:iCs/>
          <w:color w:val="000000"/>
          <w:u w:val="single"/>
          <w:lang w:val="fr-CA"/>
        </w:rPr>
        <w:t>)</w:t>
      </w:r>
      <w:r w:rsidRPr="00063A40">
        <w:rPr>
          <w:rFonts w:cstheme="minorHAnsi"/>
          <w:bCs/>
          <w:color w:val="000000"/>
          <w:lang w:val="fr-CA"/>
        </w:rPr>
        <w:t xml:space="preserve"> pour le remplacer avec celui d'une autre cellule provenant d'un embryon de grenouille.  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cstheme="minorHAnsi"/>
          <w:bCs/>
          <w:color w:val="000000"/>
          <w:lang w:val="fr-CA"/>
        </w:rPr>
        <w:t xml:space="preserve">La </w:t>
      </w:r>
      <w:r w:rsidRPr="00063A40">
        <w:rPr>
          <w:rFonts w:cstheme="minorHAnsi"/>
          <w:bCs/>
          <w:color w:val="000000"/>
          <w:lang w:val="fr-CA"/>
        </w:rPr>
        <w:t>cellule a commencé à se diviser pour donner vie à une nouvelle grenouille.  Cette dernière était un clone de la grenouille qui avait donné son noyau.</w:t>
      </w:r>
    </w:p>
    <w:p w:rsidR="00063A40" w:rsidRDefault="00063A40">
      <w:pPr>
        <w:rPr>
          <w:lang w:val="fr-CA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3398BDF" wp14:editId="71B7BB15">
            <wp:extent cx="2121408" cy="1508969"/>
            <wp:effectExtent l="0" t="0" r="0" b="0"/>
            <wp:docPr id="2" name="Picture 2" descr="Producing Clones: Animal Kingdom - How Cloning Works | HowStuffWork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ing Clones: Animal Kingdom - How Cloning Works | HowStuffWork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53" cy="15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 w:rsidRPr="00063A40">
        <w:rPr>
          <w:rFonts w:cstheme="minorHAnsi"/>
          <w:bCs/>
          <w:color w:val="000000"/>
          <w:lang w:val="fr-CA"/>
        </w:rPr>
        <w:lastRenderedPageBreak/>
        <w:t xml:space="preserve">Des cellules de mammifères ont été clonées grâce à une technique semblable à celle utilisée pour les grenouilles.  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cstheme="minorHAnsi"/>
          <w:b/>
          <w:bCs/>
          <w:color w:val="000000"/>
          <w:lang w:val="fr-CA"/>
        </w:rPr>
        <w:t xml:space="preserve">Dolly </w:t>
      </w:r>
      <w:r>
        <w:rPr>
          <w:rFonts w:cstheme="minorHAnsi"/>
          <w:bCs/>
          <w:color w:val="000000"/>
          <w:lang w:val="fr-CA"/>
        </w:rPr>
        <w:t>était la première brebis à être clonée. Ce qui la distingue des autres clones est le fait qu’ils ont utilisé des cellules adultes au lieu des cellules d’œufs non-fécondés.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</wp:posOffset>
            </wp:positionV>
            <wp:extent cx="2062886" cy="3212481"/>
            <wp:effectExtent l="0" t="0" r="0" b="6985"/>
            <wp:wrapSquare wrapText="bothSides"/>
            <wp:docPr id="3" name="Picture 3" descr="Dolly - How Cloning Works | HowStuffWor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lly - How Cloning Works | HowStuffWor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32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color w:val="000000"/>
          <w:lang w:val="fr-CA"/>
        </w:rPr>
        <w:t xml:space="preserve"> 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cstheme="minorHAnsi"/>
          <w:bCs/>
          <w:color w:val="000000"/>
          <w:lang w:val="fr-CA"/>
        </w:rPr>
        <w:t xml:space="preserve">Regarder le vidéo suivant qui explique le clonage de Dolly! </w:t>
      </w:r>
      <w:hyperlink r:id="rId10" w:history="1">
        <w:r w:rsidRPr="00F7426B">
          <w:rPr>
            <w:rStyle w:val="Hyperlink"/>
            <w:rFonts w:cstheme="minorHAnsi"/>
            <w:bCs/>
            <w:lang w:val="fr-CA"/>
          </w:rPr>
          <w:t>https://www.youtube.com/watch?v=Uj5ScZPddf8</w:t>
        </w:r>
      </w:hyperlink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u w:val="single"/>
          <w:lang w:val="fr-CA"/>
        </w:rPr>
      </w:pPr>
      <w:r w:rsidRPr="00063A40">
        <w:rPr>
          <w:rFonts w:cstheme="minorHAnsi"/>
          <w:b/>
          <w:bCs/>
          <w:color w:val="000000"/>
          <w:u w:val="single"/>
          <w:lang w:val="fr-CA"/>
        </w:rPr>
        <w:t>Le clonage de Mimi!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cstheme="minorHAnsi"/>
          <w:bCs/>
          <w:color w:val="000000"/>
          <w:lang w:val="fr-CA"/>
        </w:rPr>
        <w:t>Suivre le lien pour participer dans l’activité « Click and Clone »</w:t>
      </w: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hyperlink r:id="rId11" w:history="1">
        <w:r w:rsidRPr="00F7426B">
          <w:rPr>
            <w:rStyle w:val="Hyperlink"/>
            <w:rFonts w:cstheme="minorHAnsi"/>
            <w:bCs/>
            <w:lang w:val="fr-CA"/>
          </w:rPr>
          <w:t>https://learn.genetics.utah.edu/content/cloning/clickandclone/</w:t>
        </w:r>
      </w:hyperlink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Default="003B55EA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  <w:r>
        <w:rPr>
          <w:rFonts w:cstheme="minorHAnsi"/>
          <w:bCs/>
          <w:color w:val="000000"/>
          <w:lang w:val="fr-CA"/>
        </w:rPr>
        <w:t>Restez au courant sur le site de JHM pour les questions de cette semaine!</w:t>
      </w:r>
      <w:bookmarkStart w:id="0" w:name="_GoBack"/>
      <w:bookmarkEnd w:id="0"/>
    </w:p>
    <w:p w:rsid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p w:rsidR="00063A40" w:rsidRPr="00063A40" w:rsidRDefault="00063A40" w:rsidP="00063A40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lang w:val="fr-CA"/>
        </w:rPr>
      </w:pPr>
    </w:p>
    <w:sectPr w:rsidR="00063A40" w:rsidRPr="00063A40" w:rsidSect="00B92A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0"/>
    <w:rsid w:val="00063A40"/>
    <w:rsid w:val="003B55EA"/>
    <w:rsid w:val="00C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2F8F"/>
  <w15:chartTrackingRefBased/>
  <w15:docId w15:val="{0727AE52-1D00-44F3-891A-DCC69CE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science.howstuffworks.com%2Flife%2Fgenetic%2Fcloning3.htm&amp;psig=AOvVaw0p6ccNgE1IJL0-N6uqnuXR&amp;ust=1591107961153000&amp;source=images&amp;cd=vfe&amp;ved=0CAIQjRxqFwoTCIjQspnp4O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%3A%2F%2Fscience.howstuffworks.com%2Flife%2Fgenetic%2Fcloning2.htm&amp;psig=AOvVaw3YmGADH-ibr1zMLfDUfRGu&amp;ust=1591107766790000&amp;source=images&amp;cd=vfe&amp;ved=0CAIQjRxqFwoTCKj2o7zo4OkCFQAAAAAdAAAAABAD" TargetMode="External"/><Relationship Id="rId11" Type="http://schemas.openxmlformats.org/officeDocument/2006/relationships/hyperlink" Target="https://learn.genetics.utah.edu/content/cloning/clickandclon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j5ScZPddf8" TargetMode="External"/><Relationship Id="rId4" Type="http://schemas.openxmlformats.org/officeDocument/2006/relationships/hyperlink" Target="https://www.google.ca/url?sa=i&amp;url=https%3A%2F%2Fwww.jessicagavin.com%2Fcarrot-benefits-types%2F&amp;psig=AOvVaw3g5ytrJsayRZQj18UP2d5_&amp;ust=1591107385409000&amp;source=images&amp;cd=vfe&amp;ved=0CAIQjRxqFwoTCNjC3Ybn4OkCFQAAAAAdAAAAABAD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2</cp:revision>
  <dcterms:created xsi:type="dcterms:W3CDTF">2020-06-01T14:13:00Z</dcterms:created>
  <dcterms:modified xsi:type="dcterms:W3CDTF">2020-06-01T17:26:00Z</dcterms:modified>
</cp:coreProperties>
</file>