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65" w:rsidRDefault="00305945" w:rsidP="00A32965">
      <w:pPr>
        <w:jc w:val="center"/>
        <w:rPr>
          <w:sz w:val="40"/>
          <w:szCs w:val="40"/>
        </w:rPr>
      </w:pPr>
      <w:r w:rsidRPr="00A32965">
        <w:rPr>
          <w:sz w:val="40"/>
          <w:szCs w:val="40"/>
        </w:rPr>
        <w:t>Nutrition for Healthy Living 1</w:t>
      </w:r>
      <w:r w:rsidR="001E3048" w:rsidRPr="00A32965">
        <w:rPr>
          <w:sz w:val="40"/>
          <w:szCs w:val="40"/>
        </w:rPr>
        <w:t>2</w:t>
      </w:r>
      <w:r w:rsidR="00C2427D">
        <w:rPr>
          <w:sz w:val="40"/>
          <w:szCs w:val="40"/>
        </w:rPr>
        <w:t>0</w:t>
      </w:r>
    </w:p>
    <w:p w:rsidR="00A32965" w:rsidRPr="00A32965" w:rsidRDefault="007B4ACB" w:rsidP="00A32965">
      <w:pPr>
        <w:rPr>
          <w:sz w:val="28"/>
          <w:szCs w:val="28"/>
        </w:rPr>
      </w:pPr>
      <w:r>
        <w:rPr>
          <w:sz w:val="28"/>
          <w:szCs w:val="28"/>
        </w:rPr>
        <w:t>Mrs. A. Gallant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427D">
        <w:rPr>
          <w:sz w:val="28"/>
          <w:szCs w:val="28"/>
        </w:rPr>
        <w:t>2011</w:t>
      </w:r>
      <w:r w:rsidR="00A941A9">
        <w:rPr>
          <w:sz w:val="28"/>
          <w:szCs w:val="28"/>
        </w:rPr>
        <w:t>-2012</w:t>
      </w:r>
    </w:p>
    <w:p w:rsidR="001E3048" w:rsidRPr="00055C71" w:rsidRDefault="001E3048" w:rsidP="00A32965">
      <w:pPr>
        <w:rPr>
          <w:sz w:val="22"/>
          <w:szCs w:val="22"/>
        </w:rPr>
      </w:pPr>
      <w:proofErr w:type="gramStart"/>
      <w:r w:rsidRPr="00055C71">
        <w:rPr>
          <w:b/>
          <w:sz w:val="22"/>
          <w:szCs w:val="22"/>
        </w:rPr>
        <w:t>email</w:t>
      </w:r>
      <w:proofErr w:type="gramEnd"/>
      <w:r w:rsidRPr="00055C71">
        <w:rPr>
          <w:b/>
          <w:sz w:val="22"/>
          <w:szCs w:val="22"/>
        </w:rPr>
        <w:t>:</w:t>
      </w:r>
      <w:r w:rsidRPr="00055C71">
        <w:rPr>
          <w:sz w:val="22"/>
          <w:szCs w:val="22"/>
        </w:rPr>
        <w:t xml:space="preserve">  </w:t>
      </w:r>
      <w:hyperlink r:id="rId5" w:history="1">
        <w:r w:rsidR="00EF07DB">
          <w:rPr>
            <w:rStyle w:val="Hyperlink"/>
            <w:sz w:val="22"/>
            <w:szCs w:val="22"/>
          </w:rPr>
          <w:t>anne.gallant</w:t>
        </w:r>
        <w:r w:rsidRPr="00055C71">
          <w:rPr>
            <w:rStyle w:val="Hyperlink"/>
            <w:sz w:val="22"/>
            <w:szCs w:val="22"/>
          </w:rPr>
          <w:t>@nbed.nb.ca</w:t>
        </w:r>
      </w:hyperlink>
    </w:p>
    <w:p w:rsidR="00FD35AF" w:rsidRPr="00055C71" w:rsidRDefault="00FD35AF">
      <w:pPr>
        <w:rPr>
          <w:sz w:val="22"/>
          <w:szCs w:val="22"/>
        </w:rPr>
      </w:pPr>
    </w:p>
    <w:p w:rsidR="00FD35AF" w:rsidRPr="00055C71" w:rsidRDefault="00FD35AF" w:rsidP="00FD35AF">
      <w:pPr>
        <w:rPr>
          <w:b/>
          <w:sz w:val="22"/>
          <w:szCs w:val="22"/>
        </w:rPr>
      </w:pPr>
      <w:r w:rsidRPr="00055C71">
        <w:rPr>
          <w:b/>
          <w:sz w:val="22"/>
          <w:szCs w:val="22"/>
        </w:rPr>
        <w:t xml:space="preserve">Course Summary:  </w:t>
      </w:r>
    </w:p>
    <w:p w:rsidR="00151626" w:rsidRPr="00151626" w:rsidRDefault="00151626" w:rsidP="00151626">
      <w:pPr>
        <w:rPr>
          <w:sz w:val="22"/>
          <w:szCs w:val="22"/>
        </w:rPr>
      </w:pPr>
      <w:r w:rsidRPr="00151626">
        <w:rPr>
          <w:b/>
          <w:sz w:val="22"/>
          <w:szCs w:val="22"/>
        </w:rPr>
        <w:t>Nutrition for Healthy Living 120</w:t>
      </w:r>
      <w:r w:rsidRPr="00151626">
        <w:rPr>
          <w:sz w:val="22"/>
          <w:szCs w:val="22"/>
        </w:rPr>
        <w:t xml:space="preserve"> is designed to create an awareness of preventative strategies that </w:t>
      </w:r>
      <w:r>
        <w:rPr>
          <w:sz w:val="22"/>
          <w:szCs w:val="22"/>
        </w:rPr>
        <w:t xml:space="preserve">may </w:t>
      </w:r>
      <w:r w:rsidRPr="00151626">
        <w:rPr>
          <w:sz w:val="22"/>
          <w:szCs w:val="22"/>
        </w:rPr>
        <w:t>contribute to overall wellness and</w:t>
      </w:r>
      <w:r>
        <w:rPr>
          <w:sz w:val="22"/>
          <w:szCs w:val="22"/>
        </w:rPr>
        <w:t xml:space="preserve"> to</w:t>
      </w:r>
      <w:r w:rsidRPr="00151626">
        <w:rPr>
          <w:sz w:val="22"/>
          <w:szCs w:val="22"/>
        </w:rPr>
        <w:t xml:space="preserve"> provide you with the tools and resources necessary to make healthy food choices and maintain a balance between eating habits and physical activity. </w:t>
      </w:r>
      <w:r w:rsidRPr="00055C71">
        <w:rPr>
          <w:sz w:val="22"/>
          <w:szCs w:val="22"/>
        </w:rPr>
        <w:t xml:space="preserve">Included in the assignments </w:t>
      </w:r>
      <w:r>
        <w:rPr>
          <w:sz w:val="22"/>
          <w:szCs w:val="22"/>
        </w:rPr>
        <w:t xml:space="preserve">is a </w:t>
      </w:r>
      <w:r w:rsidR="00C2427D">
        <w:rPr>
          <w:sz w:val="22"/>
          <w:szCs w:val="22"/>
        </w:rPr>
        <w:t xml:space="preserve">wellness challenge and a </w:t>
      </w:r>
      <w:r>
        <w:rPr>
          <w:sz w:val="22"/>
          <w:szCs w:val="22"/>
        </w:rPr>
        <w:t xml:space="preserve">3 day dietary analysis using diet analysis software- Food Focus version 3.4. </w:t>
      </w:r>
      <w:r w:rsidRPr="00151626">
        <w:rPr>
          <w:sz w:val="22"/>
          <w:szCs w:val="22"/>
        </w:rPr>
        <w:t xml:space="preserve">Current issues relating to chronic diseases, lifestyles and food technologies will also be discussed. </w:t>
      </w:r>
    </w:p>
    <w:p w:rsidR="00151626" w:rsidRPr="00151626" w:rsidRDefault="00151626" w:rsidP="00151626">
      <w:pPr>
        <w:rPr>
          <w:sz w:val="22"/>
          <w:szCs w:val="22"/>
        </w:rPr>
      </w:pPr>
    </w:p>
    <w:p w:rsidR="00151626" w:rsidRPr="00151626" w:rsidRDefault="00151626" w:rsidP="00151626">
      <w:pPr>
        <w:rPr>
          <w:sz w:val="22"/>
          <w:szCs w:val="22"/>
        </w:rPr>
      </w:pPr>
      <w:r w:rsidRPr="00151626">
        <w:rPr>
          <w:sz w:val="22"/>
          <w:szCs w:val="22"/>
        </w:rPr>
        <w:t>This is an excellent course for those concerned with personal wellness or for students</w:t>
      </w:r>
      <w:r w:rsidRPr="00AC290E">
        <w:rPr>
          <w:rFonts w:ascii="Arial" w:hAnsi="Arial" w:cs="Arial"/>
        </w:rPr>
        <w:t xml:space="preserve"> </w:t>
      </w:r>
      <w:r w:rsidRPr="00151626">
        <w:rPr>
          <w:sz w:val="22"/>
          <w:szCs w:val="22"/>
        </w:rPr>
        <w:t>who wish to pursue a career in science and nutrition or health-related fields.</w:t>
      </w:r>
    </w:p>
    <w:p w:rsidR="00333A04" w:rsidRDefault="00333A04">
      <w:pPr>
        <w:rPr>
          <w:sz w:val="22"/>
          <w:szCs w:val="22"/>
        </w:rPr>
      </w:pPr>
    </w:p>
    <w:p w:rsidR="00333A04" w:rsidRPr="00333A04" w:rsidRDefault="00333A04" w:rsidP="00333A04">
      <w:pPr>
        <w:rPr>
          <w:b/>
          <w:color w:val="000000"/>
          <w:sz w:val="22"/>
          <w:szCs w:val="22"/>
        </w:rPr>
      </w:pPr>
      <w:r w:rsidRPr="00333A04">
        <w:rPr>
          <w:b/>
          <w:color w:val="000000"/>
          <w:sz w:val="22"/>
          <w:szCs w:val="22"/>
        </w:rPr>
        <w:t>General Curriculum Outcomes</w:t>
      </w:r>
    </w:p>
    <w:p w:rsidR="00333A04" w:rsidRPr="00333A04" w:rsidRDefault="00333A04" w:rsidP="00333A04">
      <w:pPr>
        <w:rPr>
          <w:b/>
          <w:color w:val="000000"/>
          <w:sz w:val="22"/>
          <w:szCs w:val="22"/>
        </w:rPr>
      </w:pPr>
      <w:r w:rsidRPr="00333A04">
        <w:rPr>
          <w:color w:val="000000"/>
          <w:sz w:val="22"/>
          <w:szCs w:val="22"/>
        </w:rPr>
        <w:t>Upon the completion of this course, students will meet the following outcomes:</w:t>
      </w:r>
    </w:p>
    <w:p w:rsidR="00333A04" w:rsidRPr="00333A04" w:rsidRDefault="00333A04" w:rsidP="00333A04">
      <w:pPr>
        <w:rPr>
          <w:color w:val="000000"/>
          <w:sz w:val="22"/>
          <w:szCs w:val="22"/>
        </w:rPr>
      </w:pPr>
    </w:p>
    <w:p w:rsidR="00333A04" w:rsidRPr="00333A04" w:rsidRDefault="00333A04" w:rsidP="00333A04">
      <w:pPr>
        <w:numPr>
          <w:ilvl w:val="0"/>
          <w:numId w:val="6"/>
        </w:numPr>
        <w:rPr>
          <w:sz w:val="22"/>
          <w:szCs w:val="22"/>
        </w:rPr>
      </w:pPr>
      <w:r w:rsidRPr="00333A04">
        <w:rPr>
          <w:sz w:val="22"/>
          <w:szCs w:val="22"/>
        </w:rPr>
        <w:t>Identify the factors that determine one’s long-term health and wellness.</w:t>
      </w:r>
    </w:p>
    <w:p w:rsidR="00333A04" w:rsidRPr="00333A04" w:rsidRDefault="00333A04" w:rsidP="00333A04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333A04">
        <w:rPr>
          <w:sz w:val="22"/>
          <w:szCs w:val="22"/>
        </w:rPr>
        <w:t>Explain the roles of nutrients in the body - digestion, absorption, transportation and metabolism.</w:t>
      </w:r>
    </w:p>
    <w:p w:rsidR="00333A04" w:rsidRPr="00333A04" w:rsidRDefault="00333A04" w:rsidP="00333A04">
      <w:pPr>
        <w:numPr>
          <w:ilvl w:val="0"/>
          <w:numId w:val="6"/>
        </w:numPr>
        <w:rPr>
          <w:b/>
          <w:sz w:val="22"/>
          <w:szCs w:val="22"/>
        </w:rPr>
      </w:pPr>
      <w:r w:rsidRPr="00333A04">
        <w:rPr>
          <w:sz w:val="22"/>
          <w:szCs w:val="22"/>
        </w:rPr>
        <w:t>Identify chronic conditions and the current trends and issues related to their prevention.</w:t>
      </w:r>
    </w:p>
    <w:p w:rsidR="00333A04" w:rsidRPr="00333A04" w:rsidRDefault="00333A04" w:rsidP="00333A04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333A04">
        <w:rPr>
          <w:sz w:val="22"/>
          <w:szCs w:val="22"/>
        </w:rPr>
        <w:t>Identify consumer issues related to food.</w:t>
      </w:r>
    </w:p>
    <w:p w:rsidR="00333A04" w:rsidRPr="00333A04" w:rsidRDefault="00333A04" w:rsidP="00333A04">
      <w:pPr>
        <w:numPr>
          <w:ilvl w:val="0"/>
          <w:numId w:val="6"/>
        </w:numPr>
        <w:rPr>
          <w:b/>
          <w:sz w:val="22"/>
          <w:szCs w:val="22"/>
        </w:rPr>
      </w:pPr>
      <w:r w:rsidRPr="00333A04">
        <w:rPr>
          <w:sz w:val="22"/>
          <w:szCs w:val="22"/>
        </w:rPr>
        <w:t>Identify post-secondary education programs available to those who wish to pursue a career in nutrition.</w:t>
      </w:r>
    </w:p>
    <w:p w:rsidR="00AC08BF" w:rsidRPr="00AC08BF" w:rsidRDefault="007C6935" w:rsidP="00AC08BF">
      <w:pPr>
        <w:rPr>
          <w:b/>
          <w:sz w:val="22"/>
          <w:szCs w:val="22"/>
        </w:rPr>
      </w:pPr>
      <w:r w:rsidRPr="00055C71">
        <w:rPr>
          <w:sz w:val="22"/>
          <w:szCs w:val="22"/>
        </w:rPr>
        <w:br/>
      </w:r>
      <w:r w:rsidR="00AC08BF" w:rsidRPr="00AC08BF">
        <w:rPr>
          <w:b/>
          <w:sz w:val="22"/>
          <w:szCs w:val="22"/>
        </w:rPr>
        <w:t>Student Text-</w:t>
      </w:r>
    </w:p>
    <w:p w:rsidR="00AC08BF" w:rsidRPr="00AC08BF" w:rsidRDefault="00AC08BF" w:rsidP="00AC08BF">
      <w:pPr>
        <w:ind w:left="360" w:firstLine="15"/>
        <w:rPr>
          <w:sz w:val="22"/>
          <w:szCs w:val="22"/>
        </w:rPr>
      </w:pPr>
      <w:r w:rsidRPr="00AC08BF">
        <w:rPr>
          <w:sz w:val="22"/>
          <w:szCs w:val="22"/>
        </w:rPr>
        <w:t>Nutrition, Food, and Fitness- The Science of Wellness, 2</w:t>
      </w:r>
      <w:r w:rsidRPr="00AC08BF">
        <w:rPr>
          <w:sz w:val="22"/>
          <w:szCs w:val="22"/>
          <w:vertAlign w:val="superscript"/>
        </w:rPr>
        <w:t>nd</w:t>
      </w:r>
      <w:r w:rsidR="00F12546">
        <w:rPr>
          <w:sz w:val="22"/>
          <w:szCs w:val="22"/>
        </w:rPr>
        <w:t xml:space="preserve"> Edition, by Dorothy </w:t>
      </w:r>
      <w:r w:rsidR="00A44C82">
        <w:rPr>
          <w:sz w:val="22"/>
          <w:szCs w:val="22"/>
        </w:rPr>
        <w:t xml:space="preserve">F. West, PhD.; </w:t>
      </w:r>
      <w:proofErr w:type="gramStart"/>
      <w:r w:rsidR="00A44C82">
        <w:rPr>
          <w:sz w:val="22"/>
          <w:szCs w:val="22"/>
        </w:rPr>
        <w:t>The</w:t>
      </w:r>
      <w:proofErr w:type="gramEnd"/>
      <w:r w:rsidR="00A44C82">
        <w:rPr>
          <w:sz w:val="22"/>
          <w:szCs w:val="22"/>
        </w:rPr>
        <w:t xml:space="preserve"> </w:t>
      </w:r>
      <w:proofErr w:type="spellStart"/>
      <w:r w:rsidR="00A44C82">
        <w:rPr>
          <w:sz w:val="22"/>
          <w:szCs w:val="22"/>
        </w:rPr>
        <w:t>Goodheart</w:t>
      </w:r>
      <w:proofErr w:type="spellEnd"/>
      <w:r w:rsidR="00A44C82">
        <w:rPr>
          <w:sz w:val="22"/>
          <w:szCs w:val="22"/>
        </w:rPr>
        <w:t>-Wi</w:t>
      </w:r>
      <w:r w:rsidRPr="00AC08BF">
        <w:rPr>
          <w:sz w:val="22"/>
          <w:szCs w:val="22"/>
        </w:rPr>
        <w:t>lcox Company, Inc.; ISBN- 1-56637-933-4</w:t>
      </w:r>
    </w:p>
    <w:p w:rsidR="00AC08BF" w:rsidRDefault="00AC08BF">
      <w:pPr>
        <w:rPr>
          <w:b/>
          <w:sz w:val="22"/>
          <w:szCs w:val="22"/>
        </w:rPr>
      </w:pPr>
    </w:p>
    <w:p w:rsidR="00FD35AF" w:rsidRPr="00055C71" w:rsidRDefault="00DF524B">
      <w:pPr>
        <w:rPr>
          <w:sz w:val="22"/>
          <w:szCs w:val="22"/>
        </w:rPr>
      </w:pPr>
      <w:r>
        <w:rPr>
          <w:b/>
          <w:sz w:val="22"/>
          <w:szCs w:val="22"/>
        </w:rPr>
        <w:t>Your</w:t>
      </w:r>
      <w:r w:rsidR="00FD35AF" w:rsidRPr="00055C71">
        <w:rPr>
          <w:b/>
          <w:sz w:val="22"/>
          <w:szCs w:val="22"/>
        </w:rPr>
        <w:t xml:space="preserve"> final mark will be calculated as follows:</w:t>
      </w:r>
      <w:r w:rsidR="00FD35AF" w:rsidRPr="00055C71">
        <w:rPr>
          <w:sz w:val="22"/>
          <w:szCs w:val="22"/>
        </w:rPr>
        <w:t xml:space="preserve"> </w:t>
      </w:r>
      <w:r w:rsidR="00FD35AF" w:rsidRPr="00055C71">
        <w:rPr>
          <w:sz w:val="22"/>
          <w:szCs w:val="22"/>
        </w:rPr>
        <w:br/>
      </w:r>
    </w:p>
    <w:tbl>
      <w:tblPr>
        <w:tblStyle w:val="TableGrid"/>
        <w:tblW w:w="0" w:type="auto"/>
        <w:tblInd w:w="108" w:type="dxa"/>
        <w:tblLook w:val="01E0"/>
      </w:tblPr>
      <w:tblGrid>
        <w:gridCol w:w="3060"/>
        <w:gridCol w:w="1260"/>
      </w:tblGrid>
      <w:tr w:rsidR="00FD35AF" w:rsidRPr="00055C71">
        <w:tc>
          <w:tcPr>
            <w:tcW w:w="3060" w:type="dxa"/>
          </w:tcPr>
          <w:p w:rsidR="00FD35AF" w:rsidRPr="00055C71" w:rsidRDefault="00C242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Assignments</w:t>
            </w:r>
            <w:r w:rsidR="00FD35AF" w:rsidRPr="00055C71">
              <w:rPr>
                <w:sz w:val="22"/>
                <w:szCs w:val="22"/>
              </w:rPr>
              <w:t>                    </w:t>
            </w:r>
          </w:p>
        </w:tc>
        <w:tc>
          <w:tcPr>
            <w:tcW w:w="1260" w:type="dxa"/>
          </w:tcPr>
          <w:p w:rsidR="00FD35AF" w:rsidRPr="00055C71" w:rsidRDefault="00A941A9" w:rsidP="00C242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70F92">
              <w:rPr>
                <w:sz w:val="22"/>
                <w:szCs w:val="22"/>
              </w:rPr>
              <w:t>0</w:t>
            </w:r>
            <w:r w:rsidR="00F1759A" w:rsidRPr="00055C71">
              <w:rPr>
                <w:sz w:val="22"/>
                <w:szCs w:val="22"/>
              </w:rPr>
              <w:t>%</w:t>
            </w:r>
          </w:p>
        </w:tc>
      </w:tr>
      <w:tr w:rsidR="00FD35AF" w:rsidRPr="00055C71">
        <w:tc>
          <w:tcPr>
            <w:tcW w:w="3060" w:type="dxa"/>
          </w:tcPr>
          <w:p w:rsidR="00FD35AF" w:rsidRPr="00055C71" w:rsidRDefault="00844D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Tests</w:t>
            </w:r>
            <w:r w:rsidR="00FD35AF" w:rsidRPr="00055C71">
              <w:rPr>
                <w:sz w:val="22"/>
                <w:szCs w:val="22"/>
              </w:rPr>
              <w:t>                          </w:t>
            </w:r>
          </w:p>
        </w:tc>
        <w:tc>
          <w:tcPr>
            <w:tcW w:w="1260" w:type="dxa"/>
          </w:tcPr>
          <w:p w:rsidR="00FD35AF" w:rsidRPr="00055C71" w:rsidRDefault="00A94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21A1C">
              <w:rPr>
                <w:sz w:val="22"/>
                <w:szCs w:val="22"/>
              </w:rPr>
              <w:t>0</w:t>
            </w:r>
            <w:r w:rsidR="00F1759A" w:rsidRPr="00055C71">
              <w:rPr>
                <w:sz w:val="22"/>
                <w:szCs w:val="22"/>
              </w:rPr>
              <w:t>%</w:t>
            </w:r>
          </w:p>
        </w:tc>
      </w:tr>
      <w:tr w:rsidR="00F1759A" w:rsidRPr="00055C71">
        <w:tc>
          <w:tcPr>
            <w:tcW w:w="3060" w:type="dxa"/>
          </w:tcPr>
          <w:p w:rsidR="00F1759A" w:rsidRPr="00055C71" w:rsidRDefault="00721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Diet Analysis</w:t>
            </w:r>
            <w:r w:rsidR="00D70F92">
              <w:rPr>
                <w:sz w:val="22"/>
                <w:szCs w:val="22"/>
              </w:rPr>
              <w:t xml:space="preserve"> </w:t>
            </w:r>
            <w:r w:rsidR="00A941A9">
              <w:rPr>
                <w:sz w:val="22"/>
                <w:szCs w:val="22"/>
              </w:rPr>
              <w:t>Project and components</w:t>
            </w:r>
          </w:p>
        </w:tc>
        <w:tc>
          <w:tcPr>
            <w:tcW w:w="1260" w:type="dxa"/>
          </w:tcPr>
          <w:p w:rsidR="00F1759A" w:rsidRPr="00055C71" w:rsidRDefault="00721A1C" w:rsidP="00844D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1759A" w:rsidRPr="00055C71">
              <w:rPr>
                <w:sz w:val="22"/>
                <w:szCs w:val="22"/>
              </w:rPr>
              <w:t>%</w:t>
            </w:r>
          </w:p>
        </w:tc>
      </w:tr>
      <w:tr w:rsidR="00844DB0" w:rsidRPr="00055C71">
        <w:tc>
          <w:tcPr>
            <w:tcW w:w="3060" w:type="dxa"/>
          </w:tcPr>
          <w:p w:rsidR="00844DB0" w:rsidRDefault="002F1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Assessment</w:t>
            </w:r>
            <w:r w:rsidR="00844DB0">
              <w:rPr>
                <w:sz w:val="22"/>
                <w:szCs w:val="22"/>
              </w:rPr>
              <w:t xml:space="preserve"> </w:t>
            </w:r>
            <w:r w:rsidR="00C2427D">
              <w:rPr>
                <w:sz w:val="22"/>
                <w:szCs w:val="22"/>
              </w:rPr>
              <w:t>(2 hour exam)</w:t>
            </w:r>
          </w:p>
        </w:tc>
        <w:tc>
          <w:tcPr>
            <w:tcW w:w="1260" w:type="dxa"/>
          </w:tcPr>
          <w:p w:rsidR="00844DB0" w:rsidRDefault="00D70F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21A1C">
              <w:rPr>
                <w:sz w:val="22"/>
                <w:szCs w:val="22"/>
              </w:rPr>
              <w:t>%</w:t>
            </w:r>
          </w:p>
        </w:tc>
      </w:tr>
    </w:tbl>
    <w:p w:rsidR="001E3048" w:rsidRDefault="001E3048"/>
    <w:p w:rsidR="00916A21" w:rsidRDefault="00916A21" w:rsidP="00AC7421">
      <w:pPr>
        <w:rPr>
          <w:b/>
        </w:rPr>
      </w:pPr>
    </w:p>
    <w:p w:rsidR="00916A21" w:rsidRPr="009316D2" w:rsidRDefault="00916A21" w:rsidP="00AC7421">
      <w:pPr>
        <w:rPr>
          <w:b/>
        </w:rPr>
      </w:pPr>
    </w:p>
    <w:sectPr w:rsidR="00916A21" w:rsidRPr="009316D2" w:rsidSect="009D59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5160E"/>
    <w:multiLevelType w:val="multilevel"/>
    <w:tmpl w:val="72A6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D718F"/>
    <w:multiLevelType w:val="multilevel"/>
    <w:tmpl w:val="2090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966725"/>
    <w:multiLevelType w:val="multilevel"/>
    <w:tmpl w:val="82A6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5A57F1"/>
    <w:multiLevelType w:val="multilevel"/>
    <w:tmpl w:val="FE0E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BE66BD"/>
    <w:multiLevelType w:val="hybridMultilevel"/>
    <w:tmpl w:val="48FEB2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ADB7299"/>
    <w:multiLevelType w:val="hybridMultilevel"/>
    <w:tmpl w:val="7270AF08"/>
    <w:lvl w:ilvl="0" w:tplc="506CBD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1E3048"/>
    <w:rsid w:val="00055C71"/>
    <w:rsid w:val="000B2559"/>
    <w:rsid w:val="00151626"/>
    <w:rsid w:val="0017658F"/>
    <w:rsid w:val="001E3048"/>
    <w:rsid w:val="0021344C"/>
    <w:rsid w:val="00222363"/>
    <w:rsid w:val="002F12D2"/>
    <w:rsid w:val="00305945"/>
    <w:rsid w:val="003202BA"/>
    <w:rsid w:val="00333A04"/>
    <w:rsid w:val="00452996"/>
    <w:rsid w:val="004D512C"/>
    <w:rsid w:val="004D5ECC"/>
    <w:rsid w:val="00577510"/>
    <w:rsid w:val="0060560F"/>
    <w:rsid w:val="0066189B"/>
    <w:rsid w:val="00701F9B"/>
    <w:rsid w:val="00721A1C"/>
    <w:rsid w:val="007B4ACB"/>
    <w:rsid w:val="007C6935"/>
    <w:rsid w:val="00844DB0"/>
    <w:rsid w:val="008E56F5"/>
    <w:rsid w:val="00916A21"/>
    <w:rsid w:val="009316D2"/>
    <w:rsid w:val="009A0B9A"/>
    <w:rsid w:val="009A3470"/>
    <w:rsid w:val="009D599A"/>
    <w:rsid w:val="00A32965"/>
    <w:rsid w:val="00A440AB"/>
    <w:rsid w:val="00A44C82"/>
    <w:rsid w:val="00A941A9"/>
    <w:rsid w:val="00AC08BF"/>
    <w:rsid w:val="00AC7421"/>
    <w:rsid w:val="00B06C58"/>
    <w:rsid w:val="00C2427D"/>
    <w:rsid w:val="00CA4DFB"/>
    <w:rsid w:val="00D70F92"/>
    <w:rsid w:val="00D871BE"/>
    <w:rsid w:val="00DA5919"/>
    <w:rsid w:val="00DC7607"/>
    <w:rsid w:val="00DF524B"/>
    <w:rsid w:val="00E37795"/>
    <w:rsid w:val="00EC7B41"/>
    <w:rsid w:val="00EF07DB"/>
    <w:rsid w:val="00F12546"/>
    <w:rsid w:val="00F1759A"/>
    <w:rsid w:val="00FD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5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3048"/>
    <w:rPr>
      <w:color w:val="0000FF"/>
      <w:u w:val="single"/>
    </w:rPr>
  </w:style>
  <w:style w:type="paragraph" w:styleId="NormalWeb">
    <w:name w:val="Normal (Web)"/>
    <w:basedOn w:val="Normal"/>
    <w:rsid w:val="001E3048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1E3048"/>
    <w:rPr>
      <w:b/>
      <w:bCs/>
    </w:rPr>
  </w:style>
  <w:style w:type="table" w:styleId="TableGrid">
    <w:name w:val="Table Grid"/>
    <w:basedOn w:val="TableNormal"/>
    <w:rsid w:val="00FD3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EF07DB"/>
    <w:rPr>
      <w:color w:val="800080"/>
      <w:u w:val="single"/>
    </w:rPr>
  </w:style>
  <w:style w:type="character" w:styleId="Emphasis">
    <w:name w:val="Emphasis"/>
    <w:basedOn w:val="DefaultParagraphFont"/>
    <w:qFormat/>
    <w:rsid w:val="00EF07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bara.fullerton@nbed.nb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Course:  English 122</vt:lpstr>
    </vt:vector>
  </TitlesOfParts>
  <Company>NBDOE</Company>
  <LinksUpToDate>false</LinksUpToDate>
  <CharactersWithSpaces>1746</CharactersWithSpaces>
  <SharedDoc>false</SharedDoc>
  <HLinks>
    <vt:vector size="6" baseType="variant">
      <vt:variant>
        <vt:i4>2293783</vt:i4>
      </vt:variant>
      <vt:variant>
        <vt:i4>0</vt:i4>
      </vt:variant>
      <vt:variant>
        <vt:i4>0</vt:i4>
      </vt:variant>
      <vt:variant>
        <vt:i4>5</vt:i4>
      </vt:variant>
      <vt:variant>
        <vt:lpwstr>mailto:barbara.fullerton@nbed.nb.ca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Course:  English 122</dc:title>
  <dc:creator>Barb Fullerton</dc:creator>
  <cp:lastModifiedBy>Administrator</cp:lastModifiedBy>
  <cp:revision>2</cp:revision>
  <dcterms:created xsi:type="dcterms:W3CDTF">2011-08-29T18:27:00Z</dcterms:created>
  <dcterms:modified xsi:type="dcterms:W3CDTF">2011-08-29T18:27:00Z</dcterms:modified>
</cp:coreProperties>
</file>